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(DeQS-RL).</w:t>
      </w:r>
      <w:r w:rsidR="00EF0269" w:rsidRPr="00E01FBE">
        <w:rPr>
          <w:rFonts w:ascii="Barlow" w:hAnsi="Barlow"/>
        </w:rPr>
        <w:br/>
      </w:r>
    </w:p>
    <w:p w14:paraId="114605D0" w14:textId="3232A2EC" w:rsidR="00805196" w:rsidRPr="00E01FBE" w:rsidRDefault="00D36298" w:rsidP="0054370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Z</w:t>
      </w:r>
      <w:r w:rsidR="00805196" w:rsidRPr="00E01FBE">
        <w:rPr>
          <w:rFonts w:ascii="Barlow" w:hAnsi="Barlow"/>
          <w:b/>
        </w:rPr>
        <w:t xml:space="preserve">ur Mitteilung an die zuständige Datenannahmestelle </w:t>
      </w:r>
      <w:r w:rsidR="00117E00" w:rsidRPr="00E01FBE">
        <w:rPr>
          <w:rFonts w:ascii="Barlow" w:hAnsi="Barlow"/>
          <w:b/>
        </w:rPr>
        <w:t xml:space="preserve">nach § 9 der </w:t>
      </w:r>
      <w:r w:rsidR="000D1487" w:rsidRPr="00E01FBE">
        <w:rPr>
          <w:rFonts w:ascii="Barlow" w:hAnsi="Barlow"/>
          <w:b/>
        </w:rPr>
        <w:t>DeQS</w:t>
      </w:r>
      <w:r w:rsidR="00117E00" w:rsidRPr="00E01FBE">
        <w:rPr>
          <w:rFonts w:ascii="Barlow" w:hAnsi="Barlow"/>
          <w:b/>
        </w:rPr>
        <w:t>-RL.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Cholezystektomie</w:t>
            </w:r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Hüftendoprothesenversorgung</w:t>
            </w:r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Hüftgelenknahe Femurfraktur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Karotis-Revaskularisation</w:t>
            </w:r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Knieendoprothesenversorgung</w:t>
            </w:r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981" w:type="dxa"/>
          </w:tcPr>
          <w:p w14:paraId="75E343F4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77777777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Hüftendoprothesenversorgung</w:t>
            </w:r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Knieendoprothesenversorgung</w:t>
            </w:r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8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3C51DBB8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58C55E91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534A4EDB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10431D6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3C66AF8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1709068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3D3A1E3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204B18A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381BE2FD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73406C7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SA_BA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</w:tr>
      <w:tr w:rsidR="00C94A85" w:rsidRPr="00E01FBE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2B66ED86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7B6101B2" w14:textId="77777777" w:rsidR="009A4770" w:rsidRPr="00E01FBE" w:rsidRDefault="009A4770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</w:p>
    <w:p w14:paraId="6784ED33" w14:textId="3C49B46F" w:rsidR="009A4770" w:rsidRPr="00E01FBE" w:rsidRDefault="009A4770" w:rsidP="009A477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DeQS-RL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r w:rsidR="001A3897" w:rsidRPr="00E01FBE">
        <w:rPr>
          <w:rFonts w:ascii="Barlow" w:hAnsi="Barlow"/>
        </w:rPr>
        <w:t>DeQS</w:t>
      </w:r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auf Bundesebene verpflichtend zu dokumentierenden Zählleistungsbereiche erfassen für definierte Verfahren spezifische Teilmengen der zu d</w:t>
      </w:r>
      <w:bookmarkStart w:id="929" w:name="_GoBack"/>
      <w:bookmarkEnd w:id="929"/>
      <w:r w:rsidRPr="00E01FBE">
        <w:rPr>
          <w:rFonts w:ascii="Barlow" w:hAnsi="Barlow"/>
        </w:rPr>
        <w:t xml:space="preserve">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Landesebene verpflichtend zu dokumentierenden Datensätze besteht eine </w:t>
      </w:r>
      <w:r w:rsidRPr="00E01FBE">
        <w:rPr>
          <w:rFonts w:ascii="Barlow" w:hAnsi="Barlow"/>
        </w:rPr>
        <w:t>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328B" w14:textId="77777777" w:rsidR="00FB2043" w:rsidRDefault="00FB2043" w:rsidP="00AF39F8">
      <w:r>
        <w:separator/>
      </w:r>
    </w:p>
  </w:endnote>
  <w:endnote w:type="continuationSeparator" w:id="0">
    <w:p w14:paraId="65A2E46F" w14:textId="77777777" w:rsidR="00FB2043" w:rsidRDefault="00FB2043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62E50" w14:textId="77777777" w:rsidR="00FB2043" w:rsidRDefault="00FB2043" w:rsidP="00477DFB">
      <w:pPr>
        <w:spacing w:after="0"/>
      </w:pPr>
      <w:r>
        <w:separator/>
      </w:r>
    </w:p>
  </w:footnote>
  <w:footnote w:type="continuationSeparator" w:id="0">
    <w:p w14:paraId="495B8DF9" w14:textId="77777777" w:rsidR="00FB2043" w:rsidRDefault="00FB2043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0436"/>
    <w:rsid w:val="002C1285"/>
    <w:rsid w:val="002C2941"/>
    <w:rsid w:val="002C3A54"/>
    <w:rsid w:val="002C6A02"/>
    <w:rsid w:val="002E2800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18BE"/>
    <w:rsid w:val="009C5B72"/>
    <w:rsid w:val="009C5C43"/>
    <w:rsid w:val="009D272E"/>
    <w:rsid w:val="009D2CE4"/>
    <w:rsid w:val="009D4E9A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7432A-0715-43FE-B1F5-FB4FB2144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3618</Words>
  <Characters>22798</Characters>
  <Application>Microsoft Office Word</Application>
  <DocSecurity>0</DocSecurity>
  <Lines>189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33</cp:revision>
  <dcterms:created xsi:type="dcterms:W3CDTF">2023-06-14T19:06:00Z</dcterms:created>
  <dcterms:modified xsi:type="dcterms:W3CDTF">2023-06-29T09:47:00Z</dcterms:modified>
</cp:coreProperties>
</file>