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0D1487">
        <w:rPr>
          <w:b/>
        </w:rPr>
        <w:t>DeQS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AFECABB" w14:textId="09BA03BB" w:rsidR="00247FE3" w:rsidRDefault="00805196" w:rsidP="00247FE3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  <w:r w:rsidR="00247FE3">
              <w:t xml:space="preserve"> </w:t>
            </w:r>
          </w:p>
          <w:p w14:paraId="7A121C6B" w14:textId="3BB429F2" w:rsidR="00805196" w:rsidRPr="00805196" w:rsidRDefault="00247FE3" w:rsidP="00247FE3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" w:name="STANDORT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bookmarkStart w:id="4" w:name="_GoBack"/>
            <w:bookmarkEnd w:id="4"/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1BB754F" w:rsidR="00597E3D" w:rsidRDefault="00597E3D" w:rsidP="00597E3D">
            <w:r>
              <w:t>DIAL</w:t>
            </w:r>
            <w:r w:rsidR="00355017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E3493FC" w:rsidR="00597E3D" w:rsidRDefault="00597E3D" w:rsidP="00597E3D">
            <w:r>
              <w:lastRenderedPageBreak/>
              <w:t>DIAL</w:t>
            </w:r>
            <w:r w:rsidR="00592FEF">
              <w:t>_LKG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</w:tbl>
    <w:p w14:paraId="0049DA07" w14:textId="77777777" w:rsidR="00C13023" w:rsidRDefault="00C13023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7BF08063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73822A5D" w:rsidR="005356A4" w:rsidRPr="0016735C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24EB862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4C5DC8CA" w:rsidR="005356A4" w:rsidRPr="007A590F" w:rsidRDefault="00355017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4944F728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780E6EF9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6FE61E01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7FBDBDE8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7473329E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3116A58E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095BE2">
        <w:t>eGK</w:t>
      </w:r>
      <w:proofErr w:type="spellEnd"/>
      <w:r w:rsidRPr="00095BE2">
        <w:t>-Versichertennummer vorliegt. Bei diesen Fällen soll ein Follow-</w:t>
      </w:r>
      <w:proofErr w:type="spellStart"/>
      <w:r w:rsidRPr="00095BE2">
        <w:t>up</w:t>
      </w:r>
      <w:proofErr w:type="spellEnd"/>
      <w:r w:rsidRPr="00095BE2">
        <w:t xml:space="preserve"> anhand </w:t>
      </w:r>
      <w:proofErr w:type="spellStart"/>
      <w:r w:rsidRPr="00095BE2">
        <w:t>pseudonymisierter</w:t>
      </w:r>
      <w:proofErr w:type="spellEnd"/>
      <w:r w:rsidRPr="00095BE2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30516" w14:textId="77777777" w:rsidR="00247FE3" w:rsidRDefault="00247FE3" w:rsidP="00AF39F8">
      <w:r>
        <w:separator/>
      </w:r>
    </w:p>
  </w:endnote>
  <w:endnote w:type="continuationSeparator" w:id="0">
    <w:p w14:paraId="3CF33F43" w14:textId="77777777" w:rsidR="00247FE3" w:rsidRDefault="00247FE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247FE3" w:rsidRPr="003C0652" w:rsidRDefault="00247FE3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E1B11" w14:textId="77777777" w:rsidR="00247FE3" w:rsidRDefault="00247FE3" w:rsidP="00477DFB">
      <w:pPr>
        <w:spacing w:after="0"/>
      </w:pPr>
      <w:r>
        <w:separator/>
      </w:r>
    </w:p>
  </w:footnote>
  <w:footnote w:type="continuationSeparator" w:id="0">
    <w:p w14:paraId="47616BDE" w14:textId="77777777" w:rsidR="00247FE3" w:rsidRDefault="00247FE3" w:rsidP="00AF39F8">
      <w:r>
        <w:continuationSeparator/>
      </w:r>
    </w:p>
  </w:footnote>
  <w:footnote w:id="1">
    <w:p w14:paraId="49AAF884" w14:textId="77777777" w:rsidR="00247FE3" w:rsidRDefault="00247FE3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247FE3" w:rsidRDefault="00247FE3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247FE3" w:rsidRDefault="00247FE3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247FE3" w:rsidRDefault="00247FE3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247FE3" w:rsidRDefault="00247FE3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55017"/>
    <w:rsid w:val="003746C1"/>
    <w:rsid w:val="0038013F"/>
    <w:rsid w:val="00387001"/>
    <w:rsid w:val="003A1E05"/>
    <w:rsid w:val="003B4FA6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34A3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935C1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20617"/>
    <w:rsid w:val="00C34636"/>
    <w:rsid w:val="00C37DDB"/>
    <w:rsid w:val="00C4054C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7A2F8-48BD-4842-905A-25E13C6B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3236</Words>
  <Characters>20394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T. Machulik</cp:lastModifiedBy>
  <cp:revision>81</cp:revision>
  <dcterms:created xsi:type="dcterms:W3CDTF">2020-02-20T16:11:00Z</dcterms:created>
  <dcterms:modified xsi:type="dcterms:W3CDTF">2021-11-25T13:39:00Z</dcterms:modified>
</cp:coreProperties>
</file>